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2922B" w14:textId="454FC48E" w:rsidR="009B3BCE" w:rsidRPr="00D606EA" w:rsidRDefault="009B3BCE" w:rsidP="009B3BCE">
      <w:pPr>
        <w:jc w:val="center"/>
        <w:rPr>
          <w:rFonts w:ascii="Times New Roman" w:hAnsi="Times New Roman" w:cs="Times New Roman"/>
          <w:sz w:val="32"/>
          <w:szCs w:val="32"/>
        </w:rPr>
      </w:pPr>
      <w:r w:rsidRPr="00D606EA">
        <w:rPr>
          <w:rFonts w:ascii="Times New Roman" w:hAnsi="Times New Roman" w:cs="Times New Roman"/>
          <w:sz w:val="32"/>
          <w:szCs w:val="32"/>
        </w:rPr>
        <w:t>Style Sheet</w:t>
      </w:r>
      <w:r w:rsidRPr="00D606EA">
        <w:rPr>
          <w:rFonts w:ascii="Times New Roman" w:hAnsi="Times New Roman" w:cs="Times New Roman"/>
          <w:sz w:val="32"/>
          <w:szCs w:val="32"/>
        </w:rPr>
        <w:t xml:space="preserve"> </w:t>
      </w:r>
      <w:r w:rsidRPr="00D606EA">
        <w:rPr>
          <w:rFonts w:ascii="Times New Roman" w:hAnsi="Times New Roman" w:cs="Times New Roman"/>
          <w:sz w:val="32"/>
          <w:szCs w:val="32"/>
        </w:rPr>
        <w:t>for authors preparing manuscripts for the</w:t>
      </w:r>
    </w:p>
    <w:p w14:paraId="15AE60A1" w14:textId="4A630008" w:rsidR="009B3BCE" w:rsidRPr="00D606EA" w:rsidRDefault="009B3BCE" w:rsidP="009B3BCE">
      <w:pPr>
        <w:jc w:val="center"/>
        <w:rPr>
          <w:rFonts w:ascii="Times New Roman" w:hAnsi="Times New Roman" w:cs="Times New Roman"/>
          <w:sz w:val="32"/>
          <w:szCs w:val="32"/>
        </w:rPr>
      </w:pPr>
      <w:r w:rsidRPr="00D606EA">
        <w:rPr>
          <w:rFonts w:ascii="Times New Roman" w:hAnsi="Times New Roman" w:cs="Times New Roman"/>
          <w:sz w:val="32"/>
          <w:szCs w:val="32"/>
        </w:rPr>
        <w:t>Romanian Yearbook</w:t>
      </w:r>
      <w:r w:rsidRPr="00D606EA">
        <w:rPr>
          <w:rFonts w:ascii="Times New Roman" w:hAnsi="Times New Roman" w:cs="Times New Roman"/>
          <w:sz w:val="32"/>
          <w:szCs w:val="32"/>
        </w:rPr>
        <w:t xml:space="preserve"> of International </w:t>
      </w:r>
      <w:r w:rsidRPr="00D606EA">
        <w:rPr>
          <w:rFonts w:ascii="Times New Roman" w:hAnsi="Times New Roman" w:cs="Times New Roman"/>
          <w:sz w:val="32"/>
          <w:szCs w:val="32"/>
        </w:rPr>
        <w:t xml:space="preserve">and European </w:t>
      </w:r>
      <w:r w:rsidRPr="00D606EA">
        <w:rPr>
          <w:rFonts w:ascii="Times New Roman" w:hAnsi="Times New Roman" w:cs="Times New Roman"/>
          <w:sz w:val="32"/>
          <w:szCs w:val="32"/>
        </w:rPr>
        <w:t>Law</w:t>
      </w:r>
    </w:p>
    <w:p w14:paraId="62A5BCD5" w14:textId="77777777" w:rsidR="009B3BCE" w:rsidRDefault="009B3BCE" w:rsidP="009B3BCE">
      <w:pPr>
        <w:rPr>
          <w:rFonts w:ascii="Times New Roman" w:hAnsi="Times New Roman" w:cs="Times New Roman"/>
          <w:sz w:val="24"/>
          <w:szCs w:val="24"/>
        </w:rPr>
      </w:pPr>
    </w:p>
    <w:p w14:paraId="7E1467AC" w14:textId="75ECDD0C" w:rsidR="009B3BCE" w:rsidRPr="00BE19B6" w:rsidRDefault="009B3BCE" w:rsidP="009B3BCE">
      <w:pPr>
        <w:pStyle w:val="Heading1"/>
        <w:rPr>
          <w:rFonts w:cs="Times New Roman"/>
          <w:sz w:val="28"/>
          <w:szCs w:val="28"/>
        </w:rPr>
      </w:pPr>
      <w:r w:rsidRPr="00BE19B6">
        <w:rPr>
          <w:rFonts w:cs="Times New Roman"/>
          <w:sz w:val="28"/>
          <w:szCs w:val="28"/>
        </w:rPr>
        <w:t xml:space="preserve">PART I: LAYOUT </w:t>
      </w:r>
    </w:p>
    <w:p w14:paraId="6FDA1F8D" w14:textId="77777777" w:rsidR="009B3BCE" w:rsidRPr="00BE19B6" w:rsidRDefault="009B3BCE" w:rsidP="009B3BCE">
      <w:pPr>
        <w:pStyle w:val="Heading2"/>
        <w:rPr>
          <w:rFonts w:cs="Times New Roman"/>
        </w:rPr>
      </w:pPr>
      <w:r w:rsidRPr="00BE19B6">
        <w:rPr>
          <w:rFonts w:cs="Times New Roman"/>
        </w:rPr>
        <w:t>A. Headings and Subheadings</w:t>
      </w:r>
    </w:p>
    <w:p w14:paraId="76FBD22E" w14:textId="481E53C7"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 xml:space="preserve">In order to clearly present these </w:t>
      </w:r>
      <w:r w:rsidRPr="00BE19B6">
        <w:rPr>
          <w:rFonts w:ascii="Times New Roman" w:hAnsi="Times New Roman" w:cs="Times New Roman"/>
          <w:sz w:val="24"/>
          <w:szCs w:val="24"/>
        </w:rPr>
        <w:t>publications,</w:t>
      </w:r>
      <w:r w:rsidRPr="00BE19B6">
        <w:rPr>
          <w:rFonts w:ascii="Times New Roman" w:hAnsi="Times New Roman" w:cs="Times New Roman"/>
          <w:sz w:val="24"/>
          <w:szCs w:val="24"/>
        </w:rPr>
        <w:t xml:space="preserve"> it is useful to use a consistent system of</w:t>
      </w:r>
      <w:r w:rsidRPr="00BE19B6">
        <w:rPr>
          <w:rFonts w:ascii="Times New Roman" w:hAnsi="Times New Roman" w:cs="Times New Roman"/>
          <w:sz w:val="24"/>
          <w:szCs w:val="24"/>
        </w:rPr>
        <w:t xml:space="preserve"> </w:t>
      </w:r>
      <w:r w:rsidRPr="00BE19B6">
        <w:rPr>
          <w:rFonts w:ascii="Times New Roman" w:hAnsi="Times New Roman" w:cs="Times New Roman"/>
          <w:sz w:val="24"/>
          <w:szCs w:val="24"/>
        </w:rPr>
        <w:t>headings. We would ask authors to use only three grades of headings, although up to five</w:t>
      </w:r>
      <w:r w:rsidRPr="00BE19B6">
        <w:rPr>
          <w:rFonts w:ascii="Times New Roman" w:hAnsi="Times New Roman" w:cs="Times New Roman"/>
          <w:sz w:val="24"/>
          <w:szCs w:val="24"/>
        </w:rPr>
        <w:t xml:space="preserve"> </w:t>
      </w:r>
      <w:r w:rsidRPr="00BE19B6">
        <w:rPr>
          <w:rFonts w:ascii="Times New Roman" w:hAnsi="Times New Roman" w:cs="Times New Roman"/>
          <w:sz w:val="24"/>
          <w:szCs w:val="24"/>
        </w:rPr>
        <w:t>can be accommodated. The following hierarchy should be used (please do not use</w:t>
      </w:r>
      <w:r w:rsidRPr="00BE19B6">
        <w:rPr>
          <w:rFonts w:ascii="Times New Roman" w:hAnsi="Times New Roman" w:cs="Times New Roman"/>
          <w:sz w:val="24"/>
          <w:szCs w:val="24"/>
        </w:rPr>
        <w:t xml:space="preserve"> </w:t>
      </w:r>
      <w:r w:rsidRPr="00BE19B6">
        <w:rPr>
          <w:rFonts w:ascii="Times New Roman" w:hAnsi="Times New Roman" w:cs="Times New Roman"/>
          <w:sz w:val="24"/>
          <w:szCs w:val="24"/>
        </w:rPr>
        <w:t>CAPITALS i</w:t>
      </w:r>
      <w:bookmarkStart w:id="0" w:name="_GoBack"/>
      <w:bookmarkEnd w:id="0"/>
      <w:r w:rsidRPr="00BE19B6">
        <w:rPr>
          <w:rFonts w:ascii="Times New Roman" w:hAnsi="Times New Roman" w:cs="Times New Roman"/>
          <w:sz w:val="24"/>
          <w:szCs w:val="24"/>
        </w:rPr>
        <w:t>n headings)</w:t>
      </w:r>
      <w:r w:rsidRPr="00BE19B6">
        <w:rPr>
          <w:rFonts w:ascii="Times New Roman" w:hAnsi="Times New Roman" w:cs="Times New Roman"/>
          <w:sz w:val="24"/>
          <w:szCs w:val="24"/>
        </w:rPr>
        <w:t>:</w:t>
      </w:r>
    </w:p>
    <w:p w14:paraId="35BB3427" w14:textId="408C6160" w:rsidR="009B3BCE" w:rsidRPr="00BE19B6" w:rsidRDefault="009B3BCE" w:rsidP="009B3BCE">
      <w:pPr>
        <w:jc w:val="center"/>
        <w:rPr>
          <w:rFonts w:ascii="Times New Roman" w:hAnsi="Times New Roman" w:cs="Times New Roman"/>
          <w:sz w:val="24"/>
          <w:szCs w:val="24"/>
        </w:rPr>
      </w:pPr>
      <w:r w:rsidRPr="00BE19B6">
        <w:rPr>
          <w:rFonts w:ascii="Times New Roman" w:hAnsi="Times New Roman" w:cs="Times New Roman"/>
          <w:sz w:val="24"/>
          <w:szCs w:val="24"/>
        </w:rPr>
        <w:t>I</w:t>
      </w:r>
      <w:r w:rsidRPr="00BE19B6">
        <w:rPr>
          <w:rFonts w:ascii="Times New Roman" w:hAnsi="Times New Roman" w:cs="Times New Roman"/>
          <w:sz w:val="24"/>
          <w:szCs w:val="24"/>
        </w:rPr>
        <w:t>. Part One</w:t>
      </w:r>
    </w:p>
    <w:p w14:paraId="69CC9628" w14:textId="77777777" w:rsidR="009B3BCE" w:rsidRPr="00BE19B6" w:rsidRDefault="009B3BCE" w:rsidP="009B3BCE">
      <w:pPr>
        <w:jc w:val="center"/>
        <w:rPr>
          <w:rFonts w:ascii="Times New Roman" w:hAnsi="Times New Roman" w:cs="Times New Roman"/>
          <w:sz w:val="24"/>
          <w:szCs w:val="24"/>
        </w:rPr>
      </w:pPr>
      <w:r w:rsidRPr="00BE19B6">
        <w:rPr>
          <w:rFonts w:ascii="Times New Roman" w:hAnsi="Times New Roman" w:cs="Times New Roman"/>
          <w:sz w:val="24"/>
          <w:szCs w:val="24"/>
        </w:rPr>
        <w:t>A. First Subheading</w:t>
      </w:r>
    </w:p>
    <w:p w14:paraId="68A95C23" w14:textId="77777777" w:rsidR="009B3BCE" w:rsidRPr="00BE19B6" w:rsidRDefault="009B3BCE" w:rsidP="009B3BCE">
      <w:pPr>
        <w:jc w:val="center"/>
        <w:rPr>
          <w:rFonts w:ascii="Times New Roman" w:hAnsi="Times New Roman" w:cs="Times New Roman"/>
          <w:sz w:val="24"/>
          <w:szCs w:val="24"/>
        </w:rPr>
      </w:pPr>
      <w:r w:rsidRPr="00BE19B6">
        <w:rPr>
          <w:rFonts w:ascii="Times New Roman" w:hAnsi="Times New Roman" w:cs="Times New Roman"/>
          <w:sz w:val="24"/>
          <w:szCs w:val="24"/>
        </w:rPr>
        <w:t>1. Second Subheading</w:t>
      </w:r>
    </w:p>
    <w:p w14:paraId="2FBBD3CD" w14:textId="53B9271A" w:rsidR="009B3BCE" w:rsidRPr="00BE19B6" w:rsidRDefault="009B3BCE" w:rsidP="009B3BCE">
      <w:pPr>
        <w:jc w:val="center"/>
        <w:rPr>
          <w:rFonts w:ascii="Times New Roman" w:hAnsi="Times New Roman" w:cs="Times New Roman"/>
          <w:sz w:val="24"/>
          <w:szCs w:val="24"/>
        </w:rPr>
      </w:pPr>
      <w:r w:rsidRPr="00BE19B6">
        <w:rPr>
          <w:rFonts w:ascii="Times New Roman" w:hAnsi="Times New Roman" w:cs="Times New Roman"/>
          <w:sz w:val="24"/>
          <w:szCs w:val="24"/>
        </w:rPr>
        <w:t>(a) Third subheading</w:t>
      </w:r>
    </w:p>
    <w:p w14:paraId="4440A23A" w14:textId="64807956" w:rsidR="009B3BCE" w:rsidRPr="00BE19B6" w:rsidRDefault="009B3BCE" w:rsidP="009B3BCE">
      <w:pPr>
        <w:jc w:val="center"/>
        <w:rPr>
          <w:rFonts w:ascii="Times New Roman" w:hAnsi="Times New Roman" w:cs="Times New Roman"/>
          <w:sz w:val="24"/>
          <w:szCs w:val="24"/>
        </w:rPr>
      </w:pPr>
      <w:proofErr w:type="spellStart"/>
      <w:r w:rsidRPr="00BE19B6">
        <w:rPr>
          <w:rFonts w:ascii="Times New Roman" w:hAnsi="Times New Roman" w:cs="Times New Roman"/>
          <w:sz w:val="24"/>
          <w:szCs w:val="24"/>
        </w:rPr>
        <w:t>i</w:t>
      </w:r>
      <w:proofErr w:type="spellEnd"/>
      <w:r w:rsidRPr="00BE19B6">
        <w:rPr>
          <w:rFonts w:ascii="Times New Roman" w:hAnsi="Times New Roman" w:cs="Times New Roman"/>
          <w:sz w:val="24"/>
          <w:szCs w:val="24"/>
        </w:rPr>
        <w:t>) Fourth subheading</w:t>
      </w:r>
    </w:p>
    <w:p w14:paraId="4F374311" w14:textId="77777777" w:rsidR="009B3BCE" w:rsidRPr="00BE19B6" w:rsidRDefault="009B3BCE" w:rsidP="009B3BCE">
      <w:pPr>
        <w:pStyle w:val="Heading2"/>
        <w:rPr>
          <w:rFonts w:cs="Times New Roman"/>
        </w:rPr>
      </w:pPr>
      <w:r w:rsidRPr="00BE19B6">
        <w:rPr>
          <w:rFonts w:cs="Times New Roman"/>
        </w:rPr>
        <w:t>B. Spelling</w:t>
      </w:r>
    </w:p>
    <w:p w14:paraId="0168DD50" w14:textId="0F26E208"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Spelling should follow the</w:t>
      </w:r>
      <w:r w:rsidRPr="00BE19B6">
        <w:rPr>
          <w:rFonts w:ascii="Times New Roman" w:hAnsi="Times New Roman" w:cs="Times New Roman"/>
          <w:sz w:val="24"/>
          <w:szCs w:val="24"/>
        </w:rPr>
        <w:t xml:space="preserve"> British English rules, as set out in the</w:t>
      </w:r>
      <w:r w:rsidRPr="00BE19B6">
        <w:rPr>
          <w:rFonts w:ascii="Times New Roman" w:hAnsi="Times New Roman" w:cs="Times New Roman"/>
          <w:sz w:val="24"/>
          <w:szCs w:val="24"/>
        </w:rPr>
        <w:t xml:space="preserve"> Oxford English Dictionary or the Concise Oxford Dictionary.</w:t>
      </w:r>
      <w:r w:rsidRPr="00BE19B6">
        <w:rPr>
          <w:rFonts w:ascii="Times New Roman" w:hAnsi="Times New Roman" w:cs="Times New Roman"/>
          <w:sz w:val="24"/>
          <w:szCs w:val="24"/>
        </w:rPr>
        <w:t xml:space="preserve"> </w:t>
      </w:r>
    </w:p>
    <w:p w14:paraId="2EFEE77B" w14:textId="77777777" w:rsidR="009B3BCE" w:rsidRPr="00BE19B6" w:rsidRDefault="009B3BCE" w:rsidP="009B3BCE">
      <w:pPr>
        <w:pStyle w:val="Heading2"/>
        <w:rPr>
          <w:rFonts w:cs="Times New Roman"/>
        </w:rPr>
      </w:pPr>
      <w:r w:rsidRPr="00BE19B6">
        <w:rPr>
          <w:rFonts w:cs="Times New Roman"/>
        </w:rPr>
        <w:t>C. Use of Italics</w:t>
      </w:r>
    </w:p>
    <w:p w14:paraId="63D0F85B" w14:textId="77777777" w:rsidR="000362A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 xml:space="preserve">Italics are to be used when citing cases (e.g., </w:t>
      </w:r>
      <w:proofErr w:type="spellStart"/>
      <w:r w:rsidRPr="00BE19B6">
        <w:rPr>
          <w:rFonts w:ascii="Times New Roman" w:hAnsi="Times New Roman" w:cs="Times New Roman"/>
          <w:i/>
          <w:sz w:val="24"/>
          <w:szCs w:val="24"/>
        </w:rPr>
        <w:t>Nottebohm</w:t>
      </w:r>
      <w:proofErr w:type="spellEnd"/>
      <w:r w:rsidRPr="00BE19B6">
        <w:rPr>
          <w:rFonts w:ascii="Times New Roman" w:hAnsi="Times New Roman" w:cs="Times New Roman"/>
          <w:i/>
          <w:sz w:val="24"/>
          <w:szCs w:val="24"/>
        </w:rPr>
        <w:t xml:space="preserve"> </w:t>
      </w:r>
      <w:r w:rsidRPr="00BE19B6">
        <w:rPr>
          <w:rFonts w:ascii="Times New Roman" w:hAnsi="Times New Roman" w:cs="Times New Roman"/>
          <w:sz w:val="24"/>
          <w:szCs w:val="24"/>
        </w:rPr>
        <w:t>case)</w:t>
      </w:r>
      <w:r w:rsidR="000362AE" w:rsidRPr="00BE19B6">
        <w:rPr>
          <w:rFonts w:ascii="Times New Roman" w:hAnsi="Times New Roman" w:cs="Times New Roman"/>
          <w:sz w:val="24"/>
          <w:szCs w:val="24"/>
        </w:rPr>
        <w:t xml:space="preserve"> and</w:t>
      </w:r>
      <w:r w:rsidRPr="00BE19B6">
        <w:rPr>
          <w:rFonts w:ascii="Times New Roman" w:hAnsi="Times New Roman" w:cs="Times New Roman"/>
          <w:sz w:val="24"/>
          <w:szCs w:val="24"/>
        </w:rPr>
        <w:t xml:space="preserve"> titles of published books or periodicals (e.g., </w:t>
      </w:r>
      <w:r w:rsidRPr="00BE19B6">
        <w:rPr>
          <w:rFonts w:ascii="Times New Roman" w:hAnsi="Times New Roman" w:cs="Times New Roman"/>
          <w:i/>
          <w:sz w:val="24"/>
          <w:szCs w:val="24"/>
        </w:rPr>
        <w:t>Diplomatic Law: Commentary on the Vienna Convention on Diplomatic Relations</w:t>
      </w:r>
      <w:r w:rsidRPr="00BE19B6">
        <w:rPr>
          <w:rFonts w:ascii="Times New Roman" w:hAnsi="Times New Roman" w:cs="Times New Roman"/>
          <w:sz w:val="24"/>
          <w:szCs w:val="24"/>
        </w:rPr>
        <w:t xml:space="preserve">, </w:t>
      </w:r>
      <w:r w:rsidRPr="00BE19B6">
        <w:rPr>
          <w:rFonts w:ascii="Times New Roman" w:hAnsi="Times New Roman" w:cs="Times New Roman"/>
          <w:i/>
          <w:sz w:val="24"/>
          <w:szCs w:val="24"/>
        </w:rPr>
        <w:t>Romanian Yearbook of International and European Law</w:t>
      </w:r>
      <w:r w:rsidRPr="00BE19B6">
        <w:rPr>
          <w:rFonts w:ascii="Times New Roman" w:hAnsi="Times New Roman" w:cs="Times New Roman"/>
          <w:sz w:val="24"/>
          <w:szCs w:val="24"/>
        </w:rPr>
        <w:t>)</w:t>
      </w:r>
      <w:r w:rsidR="000362AE" w:rsidRPr="00BE19B6">
        <w:rPr>
          <w:rFonts w:ascii="Times New Roman" w:hAnsi="Times New Roman" w:cs="Times New Roman"/>
          <w:sz w:val="24"/>
          <w:szCs w:val="24"/>
        </w:rPr>
        <w:t>.</w:t>
      </w:r>
    </w:p>
    <w:p w14:paraId="040333FA" w14:textId="1212A567" w:rsidR="009B3BCE" w:rsidRPr="00BE19B6" w:rsidRDefault="000362AE" w:rsidP="009B3BCE">
      <w:pPr>
        <w:jc w:val="both"/>
        <w:rPr>
          <w:rFonts w:ascii="Times New Roman" w:hAnsi="Times New Roman" w:cs="Times New Roman"/>
          <w:sz w:val="24"/>
          <w:szCs w:val="24"/>
        </w:rPr>
      </w:pPr>
      <w:r w:rsidRPr="00BE19B6">
        <w:rPr>
          <w:rFonts w:ascii="Times New Roman" w:hAnsi="Times New Roman" w:cs="Times New Roman"/>
          <w:sz w:val="24"/>
          <w:szCs w:val="24"/>
        </w:rPr>
        <w:t>Furthermore, italics must be used when using</w:t>
      </w:r>
      <w:r w:rsidR="009B3BCE" w:rsidRPr="00BE19B6">
        <w:rPr>
          <w:rFonts w:ascii="Times New Roman" w:hAnsi="Times New Roman" w:cs="Times New Roman"/>
          <w:sz w:val="24"/>
          <w:szCs w:val="24"/>
        </w:rPr>
        <w:t xml:space="preserve"> foreign phrases, including Latin abbreviations or common expressions (e.g., </w:t>
      </w:r>
      <w:proofErr w:type="spellStart"/>
      <w:r w:rsidRPr="00BE19B6">
        <w:rPr>
          <w:rFonts w:ascii="Times New Roman" w:hAnsi="Times New Roman" w:cs="Times New Roman"/>
          <w:i/>
          <w:sz w:val="24"/>
          <w:szCs w:val="24"/>
        </w:rPr>
        <w:t>Cour</w:t>
      </w:r>
      <w:proofErr w:type="spellEnd"/>
      <w:r w:rsidRPr="00BE19B6">
        <w:rPr>
          <w:rFonts w:ascii="Times New Roman" w:hAnsi="Times New Roman" w:cs="Times New Roman"/>
          <w:i/>
          <w:sz w:val="24"/>
          <w:szCs w:val="24"/>
        </w:rPr>
        <w:t xml:space="preserve"> de Cassation</w:t>
      </w:r>
      <w:r w:rsidRPr="00BE19B6">
        <w:rPr>
          <w:rFonts w:ascii="Times New Roman" w:hAnsi="Times New Roman" w:cs="Times New Roman"/>
          <w:sz w:val="24"/>
          <w:szCs w:val="24"/>
        </w:rPr>
        <w:t xml:space="preserve">, </w:t>
      </w:r>
      <w:r w:rsidRPr="00BE19B6">
        <w:rPr>
          <w:rFonts w:ascii="Times New Roman" w:hAnsi="Times New Roman" w:cs="Times New Roman"/>
          <w:i/>
          <w:sz w:val="24"/>
          <w:szCs w:val="24"/>
        </w:rPr>
        <w:t>a fortiori</w:t>
      </w:r>
      <w:r w:rsidRPr="00BE19B6">
        <w:rPr>
          <w:rFonts w:ascii="Times New Roman" w:hAnsi="Times New Roman" w:cs="Times New Roman"/>
          <w:sz w:val="24"/>
          <w:szCs w:val="24"/>
        </w:rPr>
        <w:t xml:space="preserve">, </w:t>
      </w:r>
      <w:r w:rsidRPr="00BE19B6">
        <w:rPr>
          <w:rFonts w:ascii="Times New Roman" w:hAnsi="Times New Roman" w:cs="Times New Roman"/>
          <w:i/>
          <w:sz w:val="24"/>
          <w:szCs w:val="24"/>
        </w:rPr>
        <w:t xml:space="preserve">per a </w:t>
      </w:r>
      <w:proofErr w:type="spellStart"/>
      <w:r w:rsidRPr="00BE19B6">
        <w:rPr>
          <w:rFonts w:ascii="Times New Roman" w:hAnsi="Times New Roman" w:cs="Times New Roman"/>
          <w:i/>
          <w:sz w:val="24"/>
          <w:szCs w:val="24"/>
        </w:rPr>
        <w:t>contrario</w:t>
      </w:r>
      <w:proofErr w:type="spellEnd"/>
      <w:r w:rsidRPr="00BE19B6">
        <w:rPr>
          <w:rFonts w:ascii="Times New Roman" w:hAnsi="Times New Roman" w:cs="Times New Roman"/>
          <w:sz w:val="24"/>
          <w:szCs w:val="24"/>
        </w:rPr>
        <w:t xml:space="preserve">) or when the author would like to emphasise certain aspects.  </w:t>
      </w:r>
    </w:p>
    <w:p w14:paraId="7975EDCE" w14:textId="77777777" w:rsidR="009B3BCE" w:rsidRPr="00BE19B6" w:rsidRDefault="009B3BCE" w:rsidP="000362AE">
      <w:pPr>
        <w:pStyle w:val="Heading2"/>
        <w:rPr>
          <w:rFonts w:cs="Times New Roman"/>
        </w:rPr>
      </w:pPr>
      <w:r w:rsidRPr="00BE19B6">
        <w:rPr>
          <w:rFonts w:cs="Times New Roman"/>
        </w:rPr>
        <w:t>D. Abbreviations</w:t>
      </w:r>
    </w:p>
    <w:p w14:paraId="2920D062" w14:textId="4B281EF5" w:rsidR="009B3BCE" w:rsidRPr="00BE19B6" w:rsidRDefault="000362AE" w:rsidP="009B3BCE">
      <w:pPr>
        <w:jc w:val="both"/>
        <w:rPr>
          <w:rFonts w:ascii="Times New Roman" w:hAnsi="Times New Roman" w:cs="Times New Roman"/>
          <w:sz w:val="24"/>
          <w:szCs w:val="24"/>
        </w:rPr>
      </w:pPr>
      <w:r w:rsidRPr="00BE19B6">
        <w:rPr>
          <w:rFonts w:ascii="Times New Roman" w:hAnsi="Times New Roman" w:cs="Times New Roman"/>
          <w:sz w:val="24"/>
          <w:szCs w:val="24"/>
        </w:rPr>
        <w:t>Abbreviations</w:t>
      </w:r>
      <w:r w:rsidR="009B3BCE" w:rsidRPr="00BE19B6">
        <w:rPr>
          <w:rFonts w:ascii="Times New Roman" w:hAnsi="Times New Roman" w:cs="Times New Roman"/>
          <w:sz w:val="24"/>
          <w:szCs w:val="24"/>
        </w:rPr>
        <w:t xml:space="preserve"> should be followed by a full stop </w:t>
      </w:r>
      <w:r w:rsidRPr="00BE19B6">
        <w:rPr>
          <w:rFonts w:ascii="Times New Roman" w:hAnsi="Times New Roman" w:cs="Times New Roman"/>
          <w:sz w:val="24"/>
          <w:szCs w:val="24"/>
        </w:rPr>
        <w:t>(</w:t>
      </w:r>
      <w:r w:rsidR="009B3BCE" w:rsidRPr="00BE19B6">
        <w:rPr>
          <w:rFonts w:ascii="Times New Roman" w:hAnsi="Times New Roman" w:cs="Times New Roman"/>
          <w:sz w:val="24"/>
          <w:szCs w:val="24"/>
        </w:rPr>
        <w:t>e.g.</w:t>
      </w:r>
      <w:r w:rsidRPr="00BE19B6">
        <w:rPr>
          <w:rFonts w:ascii="Times New Roman" w:hAnsi="Times New Roman" w:cs="Times New Roman"/>
          <w:sz w:val="24"/>
          <w:szCs w:val="24"/>
        </w:rPr>
        <w:t xml:space="preserve">, </w:t>
      </w:r>
      <w:r w:rsidR="009B3BCE" w:rsidRPr="00BE19B6">
        <w:rPr>
          <w:rFonts w:ascii="Times New Roman" w:hAnsi="Times New Roman" w:cs="Times New Roman"/>
          <w:sz w:val="24"/>
          <w:szCs w:val="24"/>
        </w:rPr>
        <w:t>Doc.</w:t>
      </w:r>
      <w:r w:rsidRPr="00BE19B6">
        <w:rPr>
          <w:rFonts w:ascii="Times New Roman" w:hAnsi="Times New Roman" w:cs="Times New Roman"/>
          <w:sz w:val="24"/>
          <w:szCs w:val="24"/>
        </w:rPr>
        <w:t xml:space="preserve">, </w:t>
      </w:r>
      <w:r w:rsidR="009B3BCE" w:rsidRPr="00BE19B6">
        <w:rPr>
          <w:rFonts w:ascii="Times New Roman" w:hAnsi="Times New Roman" w:cs="Times New Roman"/>
          <w:sz w:val="24"/>
          <w:szCs w:val="24"/>
        </w:rPr>
        <w:t>No.</w:t>
      </w:r>
      <w:r w:rsidRPr="00BE19B6">
        <w:rPr>
          <w:rFonts w:ascii="Times New Roman" w:hAnsi="Times New Roman" w:cs="Times New Roman"/>
          <w:sz w:val="24"/>
          <w:szCs w:val="24"/>
        </w:rPr>
        <w:t xml:space="preserve">, </w:t>
      </w:r>
      <w:r w:rsidR="009B3BCE" w:rsidRPr="00BE19B6">
        <w:rPr>
          <w:rFonts w:ascii="Times New Roman" w:hAnsi="Times New Roman" w:cs="Times New Roman"/>
          <w:sz w:val="24"/>
          <w:szCs w:val="24"/>
        </w:rPr>
        <w:t>Cf</w:t>
      </w:r>
      <w:r w:rsidRPr="00BE19B6">
        <w:rPr>
          <w:rFonts w:ascii="Times New Roman" w:hAnsi="Times New Roman" w:cs="Times New Roman"/>
          <w:sz w:val="24"/>
          <w:szCs w:val="24"/>
        </w:rPr>
        <w:t>.)</w:t>
      </w:r>
      <w:r w:rsidR="009B3BCE" w:rsidRPr="00BE19B6">
        <w:rPr>
          <w:rFonts w:ascii="Times New Roman" w:hAnsi="Times New Roman" w:cs="Times New Roman"/>
          <w:sz w:val="24"/>
          <w:szCs w:val="24"/>
        </w:rPr>
        <w:t>.</w:t>
      </w:r>
      <w:r w:rsidRPr="00BE19B6">
        <w:rPr>
          <w:rFonts w:ascii="Times New Roman" w:hAnsi="Times New Roman" w:cs="Times New Roman"/>
          <w:sz w:val="24"/>
          <w:szCs w:val="24"/>
        </w:rPr>
        <w:t xml:space="preserve"> </w:t>
      </w:r>
    </w:p>
    <w:p w14:paraId="3F96BB69" w14:textId="252597D4" w:rsidR="009B3BCE" w:rsidRPr="00BE19B6" w:rsidRDefault="000362AE" w:rsidP="000362AE">
      <w:pPr>
        <w:jc w:val="both"/>
        <w:rPr>
          <w:rFonts w:ascii="Times New Roman" w:hAnsi="Times New Roman" w:cs="Times New Roman"/>
          <w:sz w:val="24"/>
          <w:szCs w:val="24"/>
        </w:rPr>
      </w:pPr>
      <w:r w:rsidRPr="00BE19B6">
        <w:rPr>
          <w:rFonts w:ascii="Times New Roman" w:hAnsi="Times New Roman" w:cs="Times New Roman"/>
          <w:sz w:val="24"/>
          <w:szCs w:val="24"/>
        </w:rPr>
        <w:t xml:space="preserve">This rule does not apply to acronyms (e.g., EU, UN, ILC, ILA), titles of periodicals or law reports (e.g., RYIEL, EJIL, CMLR). However, these acronyms should be introduced at their first mention in the text: Romanian Yearbook of International and European Law (RYIEL). </w:t>
      </w:r>
    </w:p>
    <w:p w14:paraId="742AD51F" w14:textId="77777777" w:rsidR="009B3BCE" w:rsidRPr="00BE19B6" w:rsidRDefault="009B3BCE" w:rsidP="000362AE">
      <w:pPr>
        <w:pStyle w:val="Heading2"/>
        <w:rPr>
          <w:rFonts w:cs="Times New Roman"/>
        </w:rPr>
      </w:pPr>
      <w:r w:rsidRPr="00BE19B6">
        <w:rPr>
          <w:rFonts w:cs="Times New Roman"/>
        </w:rPr>
        <w:t>E. Punctuation</w:t>
      </w:r>
    </w:p>
    <w:p w14:paraId="69AB49EB" w14:textId="725CC58C" w:rsidR="005A2954"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rPr>
        <w:t>1. Quotations:</w:t>
      </w:r>
      <w:r w:rsidRPr="00BE19B6">
        <w:rPr>
          <w:rFonts w:ascii="Times New Roman" w:hAnsi="Times New Roman" w:cs="Times New Roman"/>
          <w:sz w:val="24"/>
          <w:szCs w:val="24"/>
        </w:rPr>
        <w:t xml:space="preserve"> </w:t>
      </w:r>
      <w:r w:rsidR="005A2954" w:rsidRPr="00BE19B6">
        <w:rPr>
          <w:rFonts w:ascii="Times New Roman" w:hAnsi="Times New Roman" w:cs="Times New Roman"/>
          <w:sz w:val="24"/>
          <w:szCs w:val="24"/>
        </w:rPr>
        <w:t>double</w:t>
      </w:r>
      <w:r w:rsidRPr="00BE19B6">
        <w:rPr>
          <w:rFonts w:ascii="Times New Roman" w:hAnsi="Times New Roman" w:cs="Times New Roman"/>
          <w:sz w:val="24"/>
          <w:szCs w:val="24"/>
        </w:rPr>
        <w:t xml:space="preserve"> inverted commas should be used </w:t>
      </w:r>
      <w:r w:rsidR="000362AE" w:rsidRPr="00BE19B6">
        <w:rPr>
          <w:rFonts w:ascii="Times New Roman" w:hAnsi="Times New Roman" w:cs="Times New Roman"/>
          <w:sz w:val="24"/>
          <w:szCs w:val="24"/>
        </w:rPr>
        <w:t>throughout;</w:t>
      </w:r>
      <w:r w:rsidRPr="00BE19B6">
        <w:rPr>
          <w:rFonts w:ascii="Times New Roman" w:hAnsi="Times New Roman" w:cs="Times New Roman"/>
          <w:sz w:val="24"/>
          <w:szCs w:val="24"/>
        </w:rPr>
        <w:t xml:space="preserve"> </w:t>
      </w:r>
      <w:r w:rsidR="005A2954" w:rsidRPr="00BE19B6">
        <w:rPr>
          <w:rFonts w:ascii="Times New Roman" w:hAnsi="Times New Roman" w:cs="Times New Roman"/>
          <w:sz w:val="24"/>
          <w:szCs w:val="24"/>
        </w:rPr>
        <w:t>guillemets</w:t>
      </w:r>
      <w:r w:rsidR="000362AE" w:rsidRPr="00BE19B6">
        <w:rPr>
          <w:rFonts w:ascii="Times New Roman" w:hAnsi="Times New Roman" w:cs="Times New Roman"/>
          <w:sz w:val="24"/>
          <w:szCs w:val="24"/>
        </w:rPr>
        <w:t xml:space="preserve"> </w:t>
      </w:r>
      <w:r w:rsidR="00BE19B6" w:rsidRPr="00BE19B6">
        <w:rPr>
          <w:rFonts w:ascii="Times New Roman" w:hAnsi="Times New Roman" w:cs="Times New Roman"/>
          <w:sz w:val="24"/>
          <w:szCs w:val="24"/>
        </w:rPr>
        <w:t>(e.g. “</w:t>
      </w:r>
      <w:r w:rsidR="00BE19B6" w:rsidRPr="00BE19B6">
        <w:rPr>
          <w:rFonts w:ascii="Times New Roman" w:hAnsi="Times New Roman" w:cs="Times New Roman"/>
          <w:sz w:val="24"/>
          <w:szCs w:val="24"/>
        </w:rPr>
        <w:t>«.»</w:t>
      </w:r>
      <w:r w:rsidR="00BE19B6" w:rsidRPr="00BE19B6">
        <w:rPr>
          <w:rFonts w:ascii="Times New Roman" w:hAnsi="Times New Roman" w:cs="Times New Roman"/>
          <w:sz w:val="24"/>
          <w:szCs w:val="24"/>
        </w:rPr>
        <w:t>”)</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being reserved for quotations within quotations.</w:t>
      </w:r>
      <w:r w:rsidR="005A2954" w:rsidRPr="00BE19B6">
        <w:rPr>
          <w:rFonts w:ascii="Times New Roman" w:hAnsi="Times New Roman" w:cs="Times New Roman"/>
          <w:sz w:val="24"/>
          <w:szCs w:val="24"/>
        </w:rPr>
        <w:t xml:space="preserve"> </w:t>
      </w:r>
    </w:p>
    <w:p w14:paraId="3276CDF7" w14:textId="503DB08F"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lastRenderedPageBreak/>
        <w:t>If the quotation forms a complete sentence, the closing full stop should be inside the</w:t>
      </w:r>
      <w:r w:rsidR="000362AE" w:rsidRPr="00BE19B6">
        <w:rPr>
          <w:rFonts w:ascii="Times New Roman" w:hAnsi="Times New Roman" w:cs="Times New Roman"/>
          <w:sz w:val="24"/>
          <w:szCs w:val="24"/>
        </w:rPr>
        <w:t xml:space="preserve"> </w:t>
      </w:r>
      <w:r w:rsidRPr="00BE19B6">
        <w:rPr>
          <w:rFonts w:ascii="Times New Roman" w:hAnsi="Times New Roman" w:cs="Times New Roman"/>
          <w:sz w:val="24"/>
          <w:szCs w:val="24"/>
        </w:rPr>
        <w:t>closing quotation mark. If not, it should be outside it.</w:t>
      </w:r>
    </w:p>
    <w:p w14:paraId="573BC478" w14:textId="40B35D43"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Passages of more than five lines should be printed as a separate paragraph and</w:t>
      </w:r>
      <w:r w:rsidR="000362AE" w:rsidRPr="00BE19B6">
        <w:rPr>
          <w:rFonts w:ascii="Times New Roman" w:hAnsi="Times New Roman" w:cs="Times New Roman"/>
          <w:sz w:val="24"/>
          <w:szCs w:val="24"/>
        </w:rPr>
        <w:t xml:space="preserve"> </w:t>
      </w:r>
      <w:r w:rsidRPr="00BE19B6">
        <w:rPr>
          <w:rFonts w:ascii="Times New Roman" w:hAnsi="Times New Roman" w:cs="Times New Roman"/>
          <w:sz w:val="24"/>
          <w:szCs w:val="24"/>
        </w:rPr>
        <w:t>indented without quotation marks. Style in quotations should be maintained. No changes</w:t>
      </w:r>
      <w:r w:rsidR="000362AE" w:rsidRPr="00BE19B6">
        <w:rPr>
          <w:rFonts w:ascii="Times New Roman" w:hAnsi="Times New Roman" w:cs="Times New Roman"/>
          <w:sz w:val="24"/>
          <w:szCs w:val="24"/>
        </w:rPr>
        <w:t xml:space="preserve"> </w:t>
      </w:r>
      <w:r w:rsidRPr="00BE19B6">
        <w:rPr>
          <w:rFonts w:ascii="Times New Roman" w:hAnsi="Times New Roman" w:cs="Times New Roman"/>
          <w:sz w:val="24"/>
          <w:szCs w:val="24"/>
        </w:rPr>
        <w:t xml:space="preserve">should be made in order to bring them into line with </w:t>
      </w:r>
      <w:r w:rsidR="005A2954" w:rsidRPr="00BE19B6">
        <w:rPr>
          <w:rFonts w:ascii="Times New Roman" w:hAnsi="Times New Roman" w:cs="Times New Roman"/>
          <w:sz w:val="24"/>
          <w:szCs w:val="24"/>
        </w:rPr>
        <w:t>the RYIEL</w:t>
      </w:r>
      <w:r w:rsidRPr="00BE19B6">
        <w:rPr>
          <w:rFonts w:ascii="Times New Roman" w:hAnsi="Times New Roman" w:cs="Times New Roman"/>
          <w:sz w:val="24"/>
          <w:szCs w:val="24"/>
        </w:rPr>
        <w:t xml:space="preserve"> style.</w:t>
      </w:r>
    </w:p>
    <w:p w14:paraId="3987EA44" w14:textId="0B2E6961"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2. Omission of words in quotations:</w:t>
      </w:r>
      <w:r w:rsidRPr="00BE19B6">
        <w:rPr>
          <w:rFonts w:ascii="Times New Roman" w:hAnsi="Times New Roman" w:cs="Times New Roman"/>
          <w:sz w:val="24"/>
          <w:szCs w:val="24"/>
        </w:rPr>
        <w:t xml:space="preserve"> three full stops should be used to indicate an omission</w:t>
      </w:r>
      <w:r w:rsidR="000362AE" w:rsidRPr="00BE19B6">
        <w:rPr>
          <w:rFonts w:ascii="Times New Roman" w:hAnsi="Times New Roman" w:cs="Times New Roman"/>
          <w:sz w:val="24"/>
          <w:szCs w:val="24"/>
        </w:rPr>
        <w:t xml:space="preserve"> </w:t>
      </w:r>
      <w:r w:rsidRPr="00BE19B6">
        <w:rPr>
          <w:rFonts w:ascii="Times New Roman" w:hAnsi="Times New Roman" w:cs="Times New Roman"/>
          <w:sz w:val="24"/>
          <w:szCs w:val="24"/>
        </w:rPr>
        <w:t>of words in a quotation, with a space either side. For example, ‘There is no suggestion in the</w:t>
      </w:r>
      <w:r w:rsidR="000362AE" w:rsidRPr="00BE19B6">
        <w:rPr>
          <w:rFonts w:ascii="Times New Roman" w:hAnsi="Times New Roman" w:cs="Times New Roman"/>
          <w:sz w:val="24"/>
          <w:szCs w:val="24"/>
        </w:rPr>
        <w:t xml:space="preserve"> </w:t>
      </w:r>
      <w:r w:rsidRPr="00BE19B6">
        <w:rPr>
          <w:rFonts w:ascii="Times New Roman" w:hAnsi="Times New Roman" w:cs="Times New Roman"/>
          <w:sz w:val="24"/>
          <w:szCs w:val="24"/>
        </w:rPr>
        <w:t>present case ... that the father is in any way unfit to have access.’ However, where the</w:t>
      </w:r>
      <w:r w:rsidR="000362AE" w:rsidRPr="00BE19B6">
        <w:rPr>
          <w:rFonts w:ascii="Times New Roman" w:hAnsi="Times New Roman" w:cs="Times New Roman"/>
          <w:sz w:val="24"/>
          <w:szCs w:val="24"/>
        </w:rPr>
        <w:t xml:space="preserve"> </w:t>
      </w:r>
      <w:r w:rsidRPr="00BE19B6">
        <w:rPr>
          <w:rFonts w:ascii="Times New Roman" w:hAnsi="Times New Roman" w:cs="Times New Roman"/>
          <w:sz w:val="24"/>
          <w:szCs w:val="24"/>
        </w:rPr>
        <w:t>sentence is complete the closing full stop is set close up followed by three full stops. For</w:t>
      </w:r>
      <w:r w:rsidR="000362AE" w:rsidRPr="00BE19B6">
        <w:rPr>
          <w:rFonts w:ascii="Times New Roman" w:hAnsi="Times New Roman" w:cs="Times New Roman"/>
          <w:sz w:val="24"/>
          <w:szCs w:val="24"/>
        </w:rPr>
        <w:t xml:space="preserve"> </w:t>
      </w:r>
      <w:r w:rsidRPr="00BE19B6">
        <w:rPr>
          <w:rFonts w:ascii="Times New Roman" w:hAnsi="Times New Roman" w:cs="Times New Roman"/>
          <w:sz w:val="24"/>
          <w:szCs w:val="24"/>
        </w:rPr>
        <w:t>example, ‘We are only concerned here with the welfare of the child.... We uphold the appeal.’</w:t>
      </w:r>
    </w:p>
    <w:p w14:paraId="3F98F83E" w14:textId="588D35BC"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 xml:space="preserve">3. Footnote numbers </w:t>
      </w:r>
      <w:r w:rsidRPr="00BE19B6">
        <w:rPr>
          <w:rFonts w:ascii="Times New Roman" w:hAnsi="Times New Roman" w:cs="Times New Roman"/>
          <w:sz w:val="24"/>
          <w:szCs w:val="24"/>
        </w:rPr>
        <w:t>should be placed after the punctuation mark</w:t>
      </w:r>
      <w:r w:rsidR="005A2954" w:rsidRPr="00BE19B6">
        <w:rPr>
          <w:rFonts w:ascii="Times New Roman" w:hAnsi="Times New Roman" w:cs="Times New Roman"/>
          <w:sz w:val="24"/>
          <w:szCs w:val="24"/>
        </w:rPr>
        <w:t xml:space="preserve">. </w:t>
      </w:r>
      <w:proofErr w:type="spellStart"/>
      <w:r w:rsidR="005A2954" w:rsidRPr="00BE19B6">
        <w:rPr>
          <w:rFonts w:ascii="Times New Roman" w:hAnsi="Times New Roman" w:cs="Times New Roman"/>
          <w:sz w:val="24"/>
          <w:szCs w:val="24"/>
        </w:rPr>
        <w:t>E.g</w:t>
      </w:r>
      <w:proofErr w:type="spellEnd"/>
      <w:r w:rsidRPr="00BE19B6">
        <w:rPr>
          <w:rFonts w:ascii="Times New Roman" w:hAnsi="Times New Roman" w:cs="Times New Roman"/>
          <w:sz w:val="24"/>
          <w:szCs w:val="24"/>
        </w:rPr>
        <w:t xml:space="preserve"> This was stated by</w:t>
      </w:r>
      <w:r w:rsidR="005A2954" w:rsidRPr="00BE19B6">
        <w:rPr>
          <w:rFonts w:ascii="Times New Roman" w:hAnsi="Times New Roman" w:cs="Times New Roman"/>
          <w:sz w:val="24"/>
          <w:szCs w:val="24"/>
        </w:rPr>
        <w:t xml:space="preserve"> </w:t>
      </w:r>
      <w:r w:rsidRPr="00BE19B6">
        <w:rPr>
          <w:rFonts w:ascii="Times New Roman" w:hAnsi="Times New Roman" w:cs="Times New Roman"/>
          <w:sz w:val="24"/>
          <w:szCs w:val="24"/>
        </w:rPr>
        <w:t>the Court in</w:t>
      </w:r>
      <w:r w:rsidR="005A2954" w:rsidRPr="00BE19B6">
        <w:rPr>
          <w:rFonts w:ascii="Times New Roman" w:hAnsi="Times New Roman" w:cs="Times New Roman"/>
          <w:sz w:val="24"/>
          <w:szCs w:val="24"/>
        </w:rPr>
        <w:t xml:space="preserve"> </w:t>
      </w:r>
      <w:proofErr w:type="spellStart"/>
      <w:r w:rsidR="005A2954" w:rsidRPr="00BE19B6">
        <w:rPr>
          <w:rFonts w:ascii="Times New Roman" w:hAnsi="Times New Roman" w:cs="Times New Roman"/>
          <w:i/>
          <w:sz w:val="24"/>
          <w:szCs w:val="24"/>
        </w:rPr>
        <w:t>Nottebohm</w:t>
      </w:r>
      <w:proofErr w:type="spellEnd"/>
      <w:r w:rsidR="005A2954" w:rsidRPr="00BE19B6">
        <w:rPr>
          <w:rFonts w:ascii="Times New Roman" w:hAnsi="Times New Roman" w:cs="Times New Roman"/>
          <w:sz w:val="24"/>
          <w:szCs w:val="24"/>
        </w:rPr>
        <w:t>.</w:t>
      </w:r>
      <w:r w:rsidR="005A2954" w:rsidRPr="00BE19B6">
        <w:rPr>
          <w:rStyle w:val="FootnoteReference"/>
          <w:rFonts w:ascii="Times New Roman" w:hAnsi="Times New Roman" w:cs="Times New Roman"/>
          <w:sz w:val="24"/>
          <w:szCs w:val="24"/>
        </w:rPr>
        <w:footnoteReference w:id="1"/>
      </w:r>
    </w:p>
    <w:p w14:paraId="44685F21" w14:textId="1C2A7B92"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4. Hyphens</w:t>
      </w:r>
      <w:r w:rsidRPr="00BE19B6">
        <w:rPr>
          <w:rFonts w:ascii="Times New Roman" w:hAnsi="Times New Roman" w:cs="Times New Roman"/>
          <w:sz w:val="24"/>
          <w:szCs w:val="24"/>
        </w:rPr>
        <w:t xml:space="preserve"> joining composite words should be short and with no space before or after the</w:t>
      </w:r>
      <w:r w:rsidR="005A2954" w:rsidRPr="00BE19B6">
        <w:rPr>
          <w:rFonts w:ascii="Times New Roman" w:hAnsi="Times New Roman" w:cs="Times New Roman"/>
          <w:sz w:val="24"/>
          <w:szCs w:val="24"/>
        </w:rPr>
        <w:t xml:space="preserve"> </w:t>
      </w:r>
      <w:r w:rsidRPr="00BE19B6">
        <w:rPr>
          <w:rFonts w:ascii="Times New Roman" w:hAnsi="Times New Roman" w:cs="Times New Roman"/>
          <w:sz w:val="24"/>
          <w:szCs w:val="24"/>
        </w:rPr>
        <w:t>hyphen. M-dashes (i.e. long dashes) should be used as a punctuation device, with a space</w:t>
      </w:r>
      <w:r w:rsidR="005A2954" w:rsidRPr="00BE19B6">
        <w:rPr>
          <w:rFonts w:ascii="Times New Roman" w:hAnsi="Times New Roman" w:cs="Times New Roman"/>
          <w:sz w:val="24"/>
          <w:szCs w:val="24"/>
        </w:rPr>
        <w:t xml:space="preserve"> </w:t>
      </w:r>
      <w:r w:rsidRPr="00BE19B6">
        <w:rPr>
          <w:rFonts w:ascii="Times New Roman" w:hAnsi="Times New Roman" w:cs="Times New Roman"/>
          <w:sz w:val="24"/>
          <w:szCs w:val="24"/>
        </w:rPr>
        <w:t xml:space="preserve">either side. </w:t>
      </w:r>
    </w:p>
    <w:p w14:paraId="7ED3572B" w14:textId="5DAF03DE"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5. Parentheses:</w:t>
      </w:r>
      <w:r w:rsidRPr="00BE19B6">
        <w:rPr>
          <w:rFonts w:ascii="Times New Roman" w:hAnsi="Times New Roman" w:cs="Times New Roman"/>
          <w:sz w:val="24"/>
          <w:szCs w:val="24"/>
        </w:rPr>
        <w:t xml:space="preserve"> generally, authors should use single (parentheses) for all remarks and</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explanations in the text and in footnotes. However, [brackets] should be used in the following</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cases:</w:t>
      </w:r>
    </w:p>
    <w:p w14:paraId="587A68FB" w14:textId="08B721EF" w:rsidR="009B3BCE" w:rsidRPr="00BE19B6" w:rsidRDefault="009B3BCE" w:rsidP="00BE19B6">
      <w:pPr>
        <w:pStyle w:val="ListParagraph"/>
        <w:numPr>
          <w:ilvl w:val="0"/>
          <w:numId w:val="1"/>
        </w:numPr>
        <w:jc w:val="both"/>
        <w:rPr>
          <w:rFonts w:ascii="Times New Roman" w:hAnsi="Times New Roman" w:cs="Times New Roman"/>
          <w:sz w:val="24"/>
          <w:szCs w:val="24"/>
        </w:rPr>
      </w:pPr>
      <w:r w:rsidRPr="00BE19B6">
        <w:rPr>
          <w:rFonts w:ascii="Times New Roman" w:hAnsi="Times New Roman" w:cs="Times New Roman"/>
          <w:sz w:val="24"/>
          <w:szCs w:val="24"/>
        </w:rPr>
        <w:t>For the year of law reports, e.g.</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[1987] ECR 855</w:t>
      </w:r>
    </w:p>
    <w:p w14:paraId="72FB0366" w14:textId="2D185CDC" w:rsidR="009B3BCE" w:rsidRPr="00BE19B6" w:rsidRDefault="009B3BCE" w:rsidP="00BE19B6">
      <w:pPr>
        <w:pStyle w:val="ListParagraph"/>
        <w:numPr>
          <w:ilvl w:val="0"/>
          <w:numId w:val="1"/>
        </w:numPr>
        <w:jc w:val="both"/>
        <w:rPr>
          <w:rFonts w:ascii="Times New Roman" w:hAnsi="Times New Roman" w:cs="Times New Roman"/>
          <w:sz w:val="24"/>
          <w:szCs w:val="24"/>
        </w:rPr>
      </w:pPr>
      <w:r w:rsidRPr="00BE19B6">
        <w:rPr>
          <w:rFonts w:ascii="Times New Roman" w:hAnsi="Times New Roman" w:cs="Times New Roman"/>
          <w:sz w:val="24"/>
          <w:szCs w:val="24"/>
        </w:rPr>
        <w:t>For modifications and explanatory remarks within quoted passages, e.g.</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The Court continued by stating that: ‘... [t]here is no suggestion in the present case</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that he [the father] is in any way unfit...</w:t>
      </w:r>
    </w:p>
    <w:p w14:paraId="7D48CCAB" w14:textId="340B47C7" w:rsidR="009B3BCE" w:rsidRPr="00BE19B6" w:rsidRDefault="009B3BCE" w:rsidP="00BE19B6">
      <w:pPr>
        <w:pStyle w:val="ListParagraph"/>
        <w:numPr>
          <w:ilvl w:val="0"/>
          <w:numId w:val="1"/>
        </w:numPr>
        <w:jc w:val="both"/>
        <w:rPr>
          <w:rFonts w:ascii="Times New Roman" w:hAnsi="Times New Roman" w:cs="Times New Roman"/>
          <w:sz w:val="24"/>
          <w:szCs w:val="24"/>
        </w:rPr>
      </w:pPr>
      <w:r w:rsidRPr="00BE19B6">
        <w:rPr>
          <w:rFonts w:ascii="Times New Roman" w:hAnsi="Times New Roman" w:cs="Times New Roman"/>
          <w:sz w:val="24"/>
          <w:szCs w:val="24"/>
        </w:rPr>
        <w:t>{Braces} should be avoided as far as possible. They may, however, be retained if included in</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quoted passages. The same applies for » «.</w:t>
      </w:r>
    </w:p>
    <w:p w14:paraId="37435D4E" w14:textId="139FDAAC"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6. Numbers:</w:t>
      </w:r>
      <w:r w:rsidRPr="00BE19B6">
        <w:rPr>
          <w:rFonts w:ascii="Times New Roman" w:hAnsi="Times New Roman" w:cs="Times New Roman"/>
          <w:sz w:val="24"/>
          <w:szCs w:val="24"/>
        </w:rPr>
        <w:t xml:space="preserve"> Numbers below 10 should be spelt out in full, otherwise </w:t>
      </w:r>
      <w:proofErr w:type="spellStart"/>
      <w:r w:rsidRPr="00BE19B6">
        <w:rPr>
          <w:rFonts w:ascii="Times New Roman" w:hAnsi="Times New Roman" w:cs="Times New Roman"/>
          <w:sz w:val="24"/>
          <w:szCs w:val="24"/>
        </w:rPr>
        <w:t>arabic</w:t>
      </w:r>
      <w:proofErr w:type="spellEnd"/>
      <w:r w:rsidRPr="00BE19B6">
        <w:rPr>
          <w:rFonts w:ascii="Times New Roman" w:hAnsi="Times New Roman" w:cs="Times New Roman"/>
          <w:sz w:val="24"/>
          <w:szCs w:val="24"/>
        </w:rPr>
        <w:t xml:space="preserve"> numbers should</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be used, e.g.</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There were 11 cases, but only three were heard.</w:t>
      </w:r>
      <w:r w:rsidR="00BE19B6" w:rsidRPr="00BE19B6">
        <w:rPr>
          <w:rFonts w:ascii="Times New Roman" w:hAnsi="Times New Roman" w:cs="Times New Roman"/>
          <w:sz w:val="24"/>
          <w:szCs w:val="24"/>
        </w:rPr>
        <w:t>”</w:t>
      </w:r>
      <w:r w:rsidRPr="00BE19B6">
        <w:rPr>
          <w:rFonts w:ascii="Times New Roman" w:hAnsi="Times New Roman" w:cs="Times New Roman"/>
          <w:sz w:val="24"/>
          <w:szCs w:val="24"/>
        </w:rPr>
        <w:t xml:space="preserve"> Numbers should not be elided, e.g.</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126-129. This applies also to years, e.g. 1992-1997.</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Therefore, dates should be written as follows: 23 December 1999.</w:t>
      </w:r>
    </w:p>
    <w:p w14:paraId="2E5F4218" w14:textId="77777777" w:rsidR="009B3BCE" w:rsidRPr="00BE19B6" w:rsidRDefault="009B3BCE" w:rsidP="000362AE">
      <w:pPr>
        <w:pStyle w:val="Heading2"/>
        <w:rPr>
          <w:rFonts w:cs="Times New Roman"/>
        </w:rPr>
      </w:pPr>
      <w:r w:rsidRPr="00BE19B6">
        <w:rPr>
          <w:rFonts w:cs="Times New Roman"/>
        </w:rPr>
        <w:t>F. Use of Capital Letters</w:t>
      </w:r>
    </w:p>
    <w:p w14:paraId="53C9B98E" w14:textId="23133B87" w:rsidR="00BE19B6" w:rsidRPr="00BE19B6" w:rsidRDefault="009B3BCE" w:rsidP="00BE19B6">
      <w:pPr>
        <w:rPr>
          <w:rFonts w:ascii="Times New Roman" w:hAnsi="Times New Roman" w:cs="Times New Roman"/>
          <w:sz w:val="24"/>
          <w:szCs w:val="24"/>
        </w:rPr>
      </w:pPr>
      <w:r w:rsidRPr="00BE19B6">
        <w:rPr>
          <w:rFonts w:ascii="Times New Roman" w:hAnsi="Times New Roman" w:cs="Times New Roman"/>
          <w:sz w:val="24"/>
          <w:szCs w:val="24"/>
        </w:rPr>
        <w:t>1. In headings:</w:t>
      </w:r>
    </w:p>
    <w:p w14:paraId="57F1C522" w14:textId="0996C7E6" w:rsidR="009B3BCE" w:rsidRPr="00BE19B6" w:rsidRDefault="00BE19B6" w:rsidP="009B3BCE">
      <w:pPr>
        <w:jc w:val="both"/>
        <w:rPr>
          <w:rFonts w:ascii="Times New Roman" w:hAnsi="Times New Roman" w:cs="Times New Roman"/>
          <w:sz w:val="24"/>
          <w:szCs w:val="24"/>
        </w:rPr>
      </w:pPr>
      <w:r w:rsidRPr="00BE19B6">
        <w:rPr>
          <w:rFonts w:ascii="Times New Roman" w:hAnsi="Times New Roman" w:cs="Times New Roman"/>
          <w:sz w:val="24"/>
          <w:szCs w:val="24"/>
        </w:rPr>
        <w:t>A.</w:t>
      </w:r>
      <w:r w:rsidR="009B3BCE" w:rsidRPr="00BE19B6">
        <w:rPr>
          <w:rFonts w:ascii="Times New Roman" w:hAnsi="Times New Roman" w:cs="Times New Roman"/>
          <w:sz w:val="24"/>
          <w:szCs w:val="24"/>
        </w:rPr>
        <w:t xml:space="preserve"> </w:t>
      </w:r>
      <w:r w:rsidRPr="00BE19B6">
        <w:rPr>
          <w:rFonts w:ascii="Times New Roman" w:hAnsi="Times New Roman" w:cs="Times New Roman"/>
          <w:b/>
          <w:sz w:val="24"/>
          <w:szCs w:val="24"/>
        </w:rPr>
        <w:t>T</w:t>
      </w:r>
      <w:r w:rsidR="009B3BCE" w:rsidRPr="00BE19B6">
        <w:rPr>
          <w:rFonts w:ascii="Times New Roman" w:hAnsi="Times New Roman" w:cs="Times New Roman"/>
          <w:sz w:val="24"/>
          <w:szCs w:val="24"/>
        </w:rPr>
        <w:t xml:space="preserve">he </w:t>
      </w:r>
      <w:r w:rsidRPr="00BE19B6">
        <w:rPr>
          <w:rFonts w:ascii="Times New Roman" w:hAnsi="Times New Roman" w:cs="Times New Roman"/>
          <w:b/>
          <w:sz w:val="24"/>
          <w:szCs w:val="24"/>
        </w:rPr>
        <w:t>O</w:t>
      </w:r>
      <w:r w:rsidR="009B3BCE" w:rsidRPr="00BE19B6">
        <w:rPr>
          <w:rFonts w:ascii="Times New Roman" w:hAnsi="Times New Roman" w:cs="Times New Roman"/>
          <w:sz w:val="24"/>
          <w:szCs w:val="24"/>
        </w:rPr>
        <w:t xml:space="preserve">rigins of the </w:t>
      </w:r>
      <w:r w:rsidRPr="00BE19B6">
        <w:rPr>
          <w:rFonts w:ascii="Times New Roman" w:hAnsi="Times New Roman" w:cs="Times New Roman"/>
          <w:b/>
          <w:sz w:val="24"/>
          <w:szCs w:val="24"/>
        </w:rPr>
        <w:t>D</w:t>
      </w:r>
      <w:r w:rsidR="009B3BCE" w:rsidRPr="00BE19B6">
        <w:rPr>
          <w:rFonts w:ascii="Times New Roman" w:hAnsi="Times New Roman" w:cs="Times New Roman"/>
          <w:sz w:val="24"/>
          <w:szCs w:val="24"/>
        </w:rPr>
        <w:t xml:space="preserve">raft </w:t>
      </w:r>
      <w:r w:rsidRPr="00BE19B6">
        <w:rPr>
          <w:rFonts w:ascii="Times New Roman" w:hAnsi="Times New Roman" w:cs="Times New Roman"/>
          <w:b/>
          <w:sz w:val="24"/>
          <w:szCs w:val="24"/>
        </w:rPr>
        <w:t>T</w:t>
      </w:r>
      <w:r w:rsidR="009B3BCE" w:rsidRPr="00BE19B6">
        <w:rPr>
          <w:rFonts w:ascii="Times New Roman" w:hAnsi="Times New Roman" w:cs="Times New Roman"/>
          <w:sz w:val="24"/>
          <w:szCs w:val="24"/>
        </w:rPr>
        <w:t>reaty</w:t>
      </w:r>
    </w:p>
    <w:p w14:paraId="7124953F" w14:textId="77777777" w:rsidR="009B3BCE" w:rsidRPr="00BE19B6" w:rsidRDefault="009B3BCE" w:rsidP="00BE19B6">
      <w:pPr>
        <w:rPr>
          <w:rFonts w:ascii="Times New Roman" w:hAnsi="Times New Roman" w:cs="Times New Roman"/>
          <w:sz w:val="24"/>
          <w:szCs w:val="24"/>
        </w:rPr>
      </w:pPr>
      <w:r w:rsidRPr="00BE19B6">
        <w:rPr>
          <w:rFonts w:ascii="Times New Roman" w:hAnsi="Times New Roman" w:cs="Times New Roman"/>
          <w:sz w:val="24"/>
          <w:szCs w:val="24"/>
        </w:rPr>
        <w:t>2. In acronyms:</w:t>
      </w:r>
    </w:p>
    <w:p w14:paraId="237E814F" w14:textId="787F6C23"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EFTA</w:t>
      </w:r>
    </w:p>
    <w:p w14:paraId="1A9F744C" w14:textId="3A252EBC"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NATO</w:t>
      </w:r>
    </w:p>
    <w:p w14:paraId="3460B206" w14:textId="79583B2A" w:rsidR="009B3BCE" w:rsidRPr="00BE19B6" w:rsidRDefault="009B3BCE" w:rsidP="00BE19B6">
      <w:pPr>
        <w:rPr>
          <w:rFonts w:ascii="Times New Roman" w:hAnsi="Times New Roman" w:cs="Times New Roman"/>
          <w:sz w:val="24"/>
          <w:szCs w:val="24"/>
        </w:rPr>
      </w:pPr>
      <w:r w:rsidRPr="00BE19B6">
        <w:rPr>
          <w:rFonts w:ascii="Times New Roman" w:hAnsi="Times New Roman" w:cs="Times New Roman"/>
          <w:sz w:val="24"/>
          <w:szCs w:val="24"/>
        </w:rPr>
        <w:t>3. In quoted titles of books, articles and legal materials:</w:t>
      </w:r>
      <w:r w:rsidR="00BE19B6" w:rsidRPr="00BE19B6">
        <w:rPr>
          <w:rFonts w:ascii="Times New Roman" w:hAnsi="Times New Roman" w:cs="Times New Roman"/>
          <w:sz w:val="24"/>
          <w:szCs w:val="24"/>
        </w:rPr>
        <w:t xml:space="preserve"> </w:t>
      </w:r>
      <w:proofErr w:type="gramStart"/>
      <w:r w:rsidRPr="00BE19B6">
        <w:rPr>
          <w:rFonts w:ascii="Times New Roman" w:hAnsi="Times New Roman" w:cs="Times New Roman"/>
          <w:sz w:val="24"/>
          <w:szCs w:val="24"/>
        </w:rPr>
        <w:t>the</w:t>
      </w:r>
      <w:proofErr w:type="gramEnd"/>
      <w:r w:rsidRPr="00BE19B6">
        <w:rPr>
          <w:rFonts w:ascii="Times New Roman" w:hAnsi="Times New Roman" w:cs="Times New Roman"/>
          <w:sz w:val="24"/>
          <w:szCs w:val="24"/>
        </w:rPr>
        <w:t xml:space="preserve"> Equal Treatment Directive</w:t>
      </w:r>
    </w:p>
    <w:p w14:paraId="1C6796C7" w14:textId="6B356AA1" w:rsidR="009B3BCE" w:rsidRPr="00BE19B6" w:rsidRDefault="009B3BCE" w:rsidP="00BE19B6">
      <w:pPr>
        <w:rPr>
          <w:rFonts w:ascii="Times New Roman" w:hAnsi="Times New Roman" w:cs="Times New Roman"/>
          <w:sz w:val="24"/>
          <w:szCs w:val="24"/>
        </w:rPr>
      </w:pPr>
      <w:r w:rsidRPr="00BE19B6">
        <w:rPr>
          <w:rFonts w:ascii="Times New Roman" w:hAnsi="Times New Roman" w:cs="Times New Roman"/>
          <w:sz w:val="24"/>
          <w:szCs w:val="24"/>
        </w:rPr>
        <w:lastRenderedPageBreak/>
        <w:t>4. In other cases, when speaking of specified acts, organs etc.:</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Directive 76/206</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Article 130r</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 in the Treaty of Rome ...</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 the Court of Justice went on ...</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rPr>
        <w:t>... the Industrial Relations Tribunals,</w:t>
      </w:r>
    </w:p>
    <w:p w14:paraId="27618870" w14:textId="2A25CCC1"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 xml:space="preserve">5. </w:t>
      </w:r>
      <w:r w:rsidR="00BE19B6" w:rsidRPr="00BE19B6">
        <w:rPr>
          <w:rFonts w:ascii="Times New Roman" w:hAnsi="Times New Roman" w:cs="Times New Roman"/>
          <w:sz w:val="24"/>
          <w:szCs w:val="24"/>
        </w:rPr>
        <w:t>C</w:t>
      </w:r>
      <w:r w:rsidRPr="00BE19B6">
        <w:rPr>
          <w:rFonts w:ascii="Times New Roman" w:hAnsi="Times New Roman" w:cs="Times New Roman"/>
          <w:sz w:val="24"/>
          <w:szCs w:val="24"/>
        </w:rPr>
        <w:t>apital letters should not be used when the reference is not to a specific directive,</w:t>
      </w:r>
      <w:r w:rsidR="00BE19B6" w:rsidRPr="00BE19B6">
        <w:rPr>
          <w:rFonts w:ascii="Times New Roman" w:hAnsi="Times New Roman" w:cs="Times New Roman"/>
          <w:sz w:val="24"/>
          <w:szCs w:val="24"/>
        </w:rPr>
        <w:t xml:space="preserve"> </w:t>
      </w:r>
      <w:r w:rsidRPr="00BE19B6">
        <w:rPr>
          <w:rFonts w:ascii="Times New Roman" w:hAnsi="Times New Roman" w:cs="Times New Roman"/>
          <w:sz w:val="24"/>
          <w:szCs w:val="24"/>
          <w:lang w:val="en-US"/>
        </w:rPr>
        <w:t>article, tribunal, etc. e.g.:</w:t>
      </w:r>
    </w:p>
    <w:p w14:paraId="63BBE8CF" w14:textId="77777777"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 as decided by a tribunal the year before ...</w:t>
      </w:r>
    </w:p>
    <w:p w14:paraId="3ADF28E9" w14:textId="77777777"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6. The word ‘state’ is not capitalized, e.g. ‘the state has a role to play’.</w:t>
      </w:r>
    </w:p>
    <w:p w14:paraId="1E315913" w14:textId="77777777" w:rsidR="009B3BCE" w:rsidRPr="00BE19B6" w:rsidRDefault="009B3BCE" w:rsidP="009B3BCE">
      <w:pPr>
        <w:jc w:val="both"/>
        <w:rPr>
          <w:rFonts w:ascii="Times New Roman" w:hAnsi="Times New Roman" w:cs="Times New Roman"/>
          <w:sz w:val="24"/>
          <w:szCs w:val="24"/>
        </w:rPr>
      </w:pPr>
      <w:r w:rsidRPr="00BE19B6">
        <w:rPr>
          <w:rFonts w:ascii="Times New Roman" w:hAnsi="Times New Roman" w:cs="Times New Roman"/>
          <w:sz w:val="24"/>
          <w:szCs w:val="24"/>
        </w:rPr>
        <w:t>Otherwise, standard rules should be applied.</w:t>
      </w:r>
    </w:p>
    <w:p w14:paraId="6632ECFD" w14:textId="77777777" w:rsidR="009B3BCE" w:rsidRPr="009B3BCE" w:rsidRDefault="009B3BCE" w:rsidP="000362AE">
      <w:pPr>
        <w:pStyle w:val="Heading2"/>
      </w:pPr>
      <w:r w:rsidRPr="009B3BCE">
        <w:t>G. Font, Size and Margins</w:t>
      </w:r>
    </w:p>
    <w:p w14:paraId="752D3C15" w14:textId="0DA65A3A" w:rsidR="009B3BCE" w:rsidRPr="009B3BCE" w:rsidRDefault="009B3BCE" w:rsidP="009B3BCE">
      <w:pPr>
        <w:jc w:val="both"/>
        <w:rPr>
          <w:rFonts w:ascii="Times New Roman" w:hAnsi="Times New Roman" w:cs="Times New Roman"/>
          <w:sz w:val="24"/>
          <w:szCs w:val="24"/>
        </w:rPr>
      </w:pPr>
      <w:r w:rsidRPr="009B3BCE">
        <w:rPr>
          <w:rFonts w:ascii="Times New Roman" w:hAnsi="Times New Roman" w:cs="Times New Roman"/>
          <w:sz w:val="24"/>
          <w:szCs w:val="24"/>
        </w:rPr>
        <w:t>Articles should be submitted in ‘Times New Roman’, font 12, with 1.5 or double spaces</w:t>
      </w:r>
      <w:r w:rsidR="00BE19B6">
        <w:rPr>
          <w:rFonts w:ascii="Times New Roman" w:hAnsi="Times New Roman" w:cs="Times New Roman"/>
          <w:sz w:val="24"/>
          <w:szCs w:val="24"/>
        </w:rPr>
        <w:t xml:space="preserve"> </w:t>
      </w:r>
      <w:r w:rsidRPr="009B3BCE">
        <w:rPr>
          <w:rFonts w:ascii="Times New Roman" w:hAnsi="Times New Roman" w:cs="Times New Roman"/>
          <w:sz w:val="24"/>
          <w:szCs w:val="24"/>
        </w:rPr>
        <w:t>between lines.</w:t>
      </w:r>
    </w:p>
    <w:p w14:paraId="6366F9EC" w14:textId="704EC032" w:rsidR="009B3BCE" w:rsidRDefault="009B3BCE" w:rsidP="000362AE">
      <w:pPr>
        <w:pStyle w:val="Heading1"/>
      </w:pPr>
      <w:r w:rsidRPr="009B3BCE">
        <w:t xml:space="preserve">PART II: </w:t>
      </w:r>
      <w:r w:rsidR="00210C35">
        <w:t>CITATIONS AND REFERENCES</w:t>
      </w:r>
    </w:p>
    <w:p w14:paraId="0F0E95C2" w14:textId="3D93E29B" w:rsidR="00210C35" w:rsidRDefault="00210C35" w:rsidP="00210C35"/>
    <w:p w14:paraId="6D6937D0" w14:textId="042434C4" w:rsidR="00210C35" w:rsidRDefault="00210C35" w:rsidP="00210C35">
      <w:pPr>
        <w:jc w:val="both"/>
        <w:rPr>
          <w:rFonts w:ascii="Times New Roman" w:hAnsi="Times New Roman" w:cs="Times New Roman"/>
          <w:sz w:val="24"/>
          <w:szCs w:val="24"/>
        </w:rPr>
      </w:pPr>
      <w:r>
        <w:rPr>
          <w:rFonts w:ascii="Times New Roman" w:hAnsi="Times New Roman" w:cs="Times New Roman"/>
          <w:sz w:val="24"/>
          <w:szCs w:val="24"/>
        </w:rPr>
        <w:t xml:space="preserve">RYIEL uses the rules of citation and reference set out in the </w:t>
      </w:r>
      <w:proofErr w:type="spellStart"/>
      <w:r w:rsidRPr="00210C35">
        <w:rPr>
          <w:rFonts w:ascii="Times New Roman" w:hAnsi="Times New Roman" w:cs="Times New Roman"/>
          <w:i/>
          <w:sz w:val="24"/>
          <w:szCs w:val="24"/>
        </w:rPr>
        <w:t>The</w:t>
      </w:r>
      <w:proofErr w:type="spellEnd"/>
      <w:r w:rsidRPr="00210C35">
        <w:rPr>
          <w:rFonts w:ascii="Times New Roman" w:hAnsi="Times New Roman" w:cs="Times New Roman"/>
          <w:i/>
          <w:sz w:val="24"/>
          <w:szCs w:val="24"/>
        </w:rPr>
        <w:t xml:space="preserve"> Oxford University Standard for Citation of Legal Authorities</w:t>
      </w:r>
      <w:r w:rsidRPr="00210C35">
        <w:rPr>
          <w:rFonts w:ascii="Times New Roman" w:hAnsi="Times New Roman" w:cs="Times New Roman"/>
          <w:sz w:val="24"/>
          <w:szCs w:val="24"/>
        </w:rPr>
        <w:t xml:space="preserve"> (OSCOLA)</w:t>
      </w:r>
      <w:r>
        <w:rPr>
          <w:rFonts w:ascii="Times New Roman" w:hAnsi="Times New Roman" w:cs="Times New Roman"/>
          <w:sz w:val="24"/>
          <w:szCs w:val="24"/>
        </w:rPr>
        <w:t>, 5</w:t>
      </w:r>
      <w:r w:rsidRPr="00210C35">
        <w:rPr>
          <w:rFonts w:ascii="Times New Roman" w:hAnsi="Times New Roman" w:cs="Times New Roman"/>
          <w:sz w:val="24"/>
          <w:szCs w:val="24"/>
          <w:vertAlign w:val="superscript"/>
        </w:rPr>
        <w:t>th</w:t>
      </w:r>
      <w:r>
        <w:rPr>
          <w:rFonts w:ascii="Times New Roman" w:hAnsi="Times New Roman" w:cs="Times New Roman"/>
          <w:sz w:val="24"/>
          <w:szCs w:val="24"/>
        </w:rPr>
        <w:t xml:space="preserve"> Edition, available at: </w:t>
      </w:r>
      <w:hyperlink r:id="rId7" w:history="1">
        <w:r w:rsidRPr="00D421A0">
          <w:rPr>
            <w:rStyle w:val="Hyperlink"/>
            <w:rFonts w:ascii="Times New Roman" w:hAnsi="Times New Roman" w:cs="Times New Roman"/>
            <w:sz w:val="24"/>
            <w:szCs w:val="24"/>
          </w:rPr>
          <w:t>https://www.law.ox.ac.uk/oscola</w:t>
        </w:r>
      </w:hyperlink>
      <w:r w:rsidR="00D606E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0FAF5D9" w14:textId="77777777" w:rsidR="00210C35" w:rsidRPr="00210C35" w:rsidRDefault="00210C35" w:rsidP="00210C35">
      <w:pPr>
        <w:jc w:val="both"/>
        <w:rPr>
          <w:rFonts w:ascii="Times New Roman" w:hAnsi="Times New Roman" w:cs="Times New Roman"/>
          <w:sz w:val="24"/>
          <w:szCs w:val="24"/>
          <w:lang w:val="en-US"/>
        </w:rPr>
      </w:pPr>
    </w:p>
    <w:p w14:paraId="47C17EA7" w14:textId="0A987362" w:rsidR="00717822" w:rsidRPr="009B3BCE" w:rsidRDefault="00717822" w:rsidP="009B3BCE">
      <w:pPr>
        <w:jc w:val="both"/>
        <w:rPr>
          <w:rFonts w:ascii="Times New Roman" w:hAnsi="Times New Roman" w:cs="Times New Roman"/>
          <w:sz w:val="24"/>
          <w:szCs w:val="24"/>
        </w:rPr>
      </w:pPr>
    </w:p>
    <w:sectPr w:rsidR="00717822" w:rsidRPr="009B3B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43FE8" w14:textId="77777777" w:rsidR="005A2954" w:rsidRDefault="005A2954" w:rsidP="005A2954">
      <w:pPr>
        <w:spacing w:after="0" w:line="240" w:lineRule="auto"/>
      </w:pPr>
      <w:r>
        <w:separator/>
      </w:r>
    </w:p>
  </w:endnote>
  <w:endnote w:type="continuationSeparator" w:id="0">
    <w:p w14:paraId="5E35CF2D" w14:textId="77777777" w:rsidR="005A2954" w:rsidRDefault="005A2954" w:rsidP="005A2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B95BF" w14:textId="77777777" w:rsidR="005A2954" w:rsidRDefault="005A2954" w:rsidP="005A2954">
      <w:pPr>
        <w:spacing w:after="0" w:line="240" w:lineRule="auto"/>
      </w:pPr>
      <w:r>
        <w:separator/>
      </w:r>
    </w:p>
  </w:footnote>
  <w:footnote w:type="continuationSeparator" w:id="0">
    <w:p w14:paraId="36226238" w14:textId="77777777" w:rsidR="005A2954" w:rsidRDefault="005A2954" w:rsidP="005A2954">
      <w:pPr>
        <w:spacing w:after="0" w:line="240" w:lineRule="auto"/>
      </w:pPr>
      <w:r>
        <w:continuationSeparator/>
      </w:r>
    </w:p>
  </w:footnote>
  <w:footnote w:id="1">
    <w:p w14:paraId="554615C3" w14:textId="1615C6AB" w:rsidR="005A2954" w:rsidRPr="005A2954" w:rsidRDefault="005A2954">
      <w:pPr>
        <w:pStyle w:val="FootnoteText"/>
        <w:rPr>
          <w:lang w:val="en-US"/>
        </w:rPr>
      </w:pPr>
      <w:r>
        <w:rPr>
          <w:rStyle w:val="FootnoteReferenc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4576C"/>
    <w:multiLevelType w:val="hybridMultilevel"/>
    <w:tmpl w:val="1920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B58"/>
    <w:rsid w:val="000362AE"/>
    <w:rsid w:val="00210C35"/>
    <w:rsid w:val="00234B58"/>
    <w:rsid w:val="00566088"/>
    <w:rsid w:val="005A2954"/>
    <w:rsid w:val="00717822"/>
    <w:rsid w:val="009B3BCE"/>
    <w:rsid w:val="00BE19B6"/>
    <w:rsid w:val="00D60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496BF"/>
  <w15:chartTrackingRefBased/>
  <w15:docId w15:val="{1E399F65-00CF-467E-832E-BF7E237A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362AE"/>
    <w:pPr>
      <w:keepNext/>
      <w:keepLines/>
      <w:spacing w:before="240" w:after="0"/>
      <w:outlineLvl w:val="0"/>
    </w:pPr>
    <w:rPr>
      <w:rFonts w:ascii="Times New Roman" w:eastAsiaTheme="majorEastAsia" w:hAnsi="Times New Roman"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3BCE"/>
    <w:pPr>
      <w:keepNext/>
      <w:keepLines/>
      <w:spacing w:before="40" w:after="0"/>
      <w:outlineLvl w:val="1"/>
    </w:pPr>
    <w:rPr>
      <w:rFonts w:ascii="Times New Roman" w:eastAsiaTheme="majorEastAsia" w:hAnsi="Times New Roman"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6088"/>
    <w:pPr>
      <w:keepNext/>
      <w:keepLines/>
      <w:spacing w:before="40" w:after="0"/>
      <w:outlineLvl w:val="2"/>
    </w:pPr>
    <w:rPr>
      <w:rFonts w:ascii="Times New Roman" w:eastAsiaTheme="majorEastAsia" w:hAnsi="Times New Roman"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AE"/>
    <w:rPr>
      <w:rFonts w:ascii="Times New Roman" w:eastAsiaTheme="majorEastAsia" w:hAnsi="Times New Roman"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9B3BCE"/>
    <w:rPr>
      <w:rFonts w:ascii="Times New Roman" w:eastAsiaTheme="majorEastAsia" w:hAnsi="Times New Roman"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566088"/>
    <w:rPr>
      <w:rFonts w:ascii="Times New Roman" w:eastAsiaTheme="majorEastAsia" w:hAnsi="Times New Roman" w:cstheme="majorBidi"/>
      <w:color w:val="1F3763" w:themeColor="accent1" w:themeShade="7F"/>
      <w:sz w:val="24"/>
      <w:szCs w:val="24"/>
      <w:lang w:val="en-GB"/>
    </w:rPr>
  </w:style>
  <w:style w:type="paragraph" w:styleId="FootnoteText">
    <w:name w:val="footnote text"/>
    <w:basedOn w:val="Normal"/>
    <w:link w:val="FootnoteTextChar"/>
    <w:uiPriority w:val="99"/>
    <w:semiHidden/>
    <w:unhideWhenUsed/>
    <w:rsid w:val="005A29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2954"/>
    <w:rPr>
      <w:sz w:val="20"/>
      <w:szCs w:val="20"/>
      <w:lang w:val="en-GB"/>
    </w:rPr>
  </w:style>
  <w:style w:type="character" w:styleId="FootnoteReference">
    <w:name w:val="footnote reference"/>
    <w:basedOn w:val="DefaultParagraphFont"/>
    <w:uiPriority w:val="99"/>
    <w:semiHidden/>
    <w:unhideWhenUsed/>
    <w:rsid w:val="005A2954"/>
    <w:rPr>
      <w:vertAlign w:val="superscript"/>
    </w:rPr>
  </w:style>
  <w:style w:type="paragraph" w:styleId="ListParagraph">
    <w:name w:val="List Paragraph"/>
    <w:basedOn w:val="Normal"/>
    <w:uiPriority w:val="34"/>
    <w:qFormat/>
    <w:rsid w:val="00BE19B6"/>
    <w:pPr>
      <w:ind w:left="720"/>
      <w:contextualSpacing/>
    </w:pPr>
  </w:style>
  <w:style w:type="character" w:styleId="Hyperlink">
    <w:name w:val="Hyperlink"/>
    <w:basedOn w:val="DefaultParagraphFont"/>
    <w:uiPriority w:val="99"/>
    <w:unhideWhenUsed/>
    <w:rsid w:val="00210C35"/>
    <w:rPr>
      <w:color w:val="0563C1" w:themeColor="hyperlink"/>
      <w:u w:val="single"/>
    </w:rPr>
  </w:style>
  <w:style w:type="character" w:styleId="UnresolvedMention">
    <w:name w:val="Unresolved Mention"/>
    <w:basedOn w:val="DefaultParagraphFont"/>
    <w:uiPriority w:val="99"/>
    <w:semiHidden/>
    <w:unhideWhenUsed/>
    <w:rsid w:val="00210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63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w.ox.ac.uk/osco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Badescu</dc:creator>
  <cp:keywords/>
  <dc:description/>
  <cp:lastModifiedBy>Mihai Badescu</cp:lastModifiedBy>
  <cp:revision>2</cp:revision>
  <dcterms:created xsi:type="dcterms:W3CDTF">2026-07-28T09:26:00Z</dcterms:created>
  <dcterms:modified xsi:type="dcterms:W3CDTF">2026-07-28T12:04:00Z</dcterms:modified>
</cp:coreProperties>
</file>